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557D" w14:textId="33F9EC88" w:rsidR="008A521A" w:rsidRPr="00D130A7" w:rsidRDefault="008A521A" w:rsidP="008A521A">
      <w:pPr>
        <w:tabs>
          <w:tab w:val="right" w:pos="9630"/>
        </w:tabs>
        <w:spacing w:after="0"/>
        <w:jc w:val="both"/>
        <w:rPr>
          <w:rFonts w:ascii="Arial" w:hAnsi="Arial" w:cs="Arial"/>
          <w:b/>
          <w:bCs/>
          <w:sz w:val="24"/>
          <w:szCs w:val="24"/>
          <w:lang w:eastAsia="ja-JP"/>
        </w:rPr>
      </w:pPr>
      <w:bookmarkStart w:id="0" w:name="page1"/>
      <w:r w:rsidRPr="338B7BC8">
        <w:rPr>
          <w:rFonts w:ascii="Arial" w:hAnsi="Arial" w:cs="Arial"/>
          <w:b/>
          <w:bCs/>
          <w:sz w:val="24"/>
          <w:szCs w:val="24"/>
        </w:rPr>
        <w:t>3GPP TSG-RAN WG4 Meeting #10</w:t>
      </w:r>
      <w:r>
        <w:rPr>
          <w:rFonts w:ascii="Arial" w:hAnsi="Arial" w:cs="Arial" w:hint="eastAsia"/>
          <w:b/>
          <w:bCs/>
          <w:sz w:val="24"/>
          <w:szCs w:val="24"/>
          <w:lang w:eastAsia="ja-JP"/>
        </w:rPr>
        <w:t>6</w:t>
      </w:r>
      <w:r>
        <w:rPr>
          <w:rFonts w:ascii="Arial" w:hAnsi="Arial" w:cs="Arial"/>
          <w:b/>
          <w:bCs/>
          <w:sz w:val="24"/>
          <w:szCs w:val="24"/>
          <w:lang w:eastAsia="ja-JP"/>
        </w:rPr>
        <w:t>bis-e</w:t>
      </w:r>
      <w:r>
        <w:tab/>
      </w:r>
      <w:r w:rsidRPr="338B7BC8">
        <w:rPr>
          <w:rFonts w:ascii="Arial" w:hAnsi="Arial" w:cs="Arial"/>
          <w:b/>
          <w:bCs/>
          <w:sz w:val="24"/>
          <w:szCs w:val="24"/>
        </w:rPr>
        <w:t>R4-2</w:t>
      </w:r>
      <w:r>
        <w:rPr>
          <w:rFonts w:ascii="Arial" w:hAnsi="Arial" w:cs="Arial"/>
          <w:b/>
          <w:bCs/>
          <w:sz w:val="24"/>
          <w:szCs w:val="24"/>
        </w:rPr>
        <w:t>30</w:t>
      </w:r>
      <w:r w:rsidR="003C1F07">
        <w:rPr>
          <w:rFonts w:ascii="Arial" w:hAnsi="Arial" w:cs="Arial"/>
          <w:b/>
          <w:bCs/>
          <w:sz w:val="24"/>
          <w:szCs w:val="24"/>
          <w:lang w:eastAsia="ja-JP"/>
        </w:rPr>
        <w:t>5198</w:t>
      </w:r>
    </w:p>
    <w:p w14:paraId="1D1991D3" w14:textId="77777777" w:rsidR="008A521A" w:rsidRPr="00D130A7" w:rsidRDefault="008A521A" w:rsidP="008A521A">
      <w:pPr>
        <w:tabs>
          <w:tab w:val="right" w:pos="9630"/>
        </w:tabs>
        <w:spacing w:after="0"/>
        <w:jc w:val="both"/>
        <w:rPr>
          <w:rFonts w:ascii="Arial" w:hAnsi="Arial"/>
          <w:b/>
          <w:bCs/>
          <w:sz w:val="24"/>
          <w:szCs w:val="24"/>
          <w:lang w:val="en-US"/>
        </w:rPr>
      </w:pPr>
      <w:r w:rsidRPr="00062030">
        <w:rPr>
          <w:rFonts w:ascii="Arial" w:eastAsia="SimSun" w:hAnsi="Arial" w:cs="Arial"/>
          <w:b/>
          <w:sz w:val="24"/>
          <w:szCs w:val="24"/>
          <w:lang w:eastAsia="zh-CN"/>
        </w:rPr>
        <w:t>Online, April 17 – April 26, 2023</w:t>
      </w:r>
    </w:p>
    <w:p w14:paraId="5C98555D" w14:textId="1ECC1286"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8A521A">
        <w:rPr>
          <w:rFonts w:ascii="Arial" w:hAnsi="Arial" w:hint="eastAsia"/>
          <w:sz w:val="24"/>
          <w:szCs w:val="24"/>
          <w:lang w:val="en-US" w:eastAsia="ja-JP"/>
        </w:rPr>
        <w:t>5</w:t>
      </w:r>
      <w:r w:rsidR="00453D84">
        <w:rPr>
          <w:rFonts w:ascii="Arial" w:hAnsi="Arial"/>
          <w:sz w:val="24"/>
          <w:szCs w:val="24"/>
          <w:lang w:val="en-US" w:eastAsia="ja-JP"/>
        </w:rPr>
        <w:t>.</w:t>
      </w:r>
      <w:r w:rsidR="00877ACE">
        <w:rPr>
          <w:rFonts w:ascii="Arial" w:hAnsi="Arial" w:hint="eastAsia"/>
          <w:sz w:val="24"/>
          <w:szCs w:val="24"/>
          <w:lang w:val="en-US" w:eastAsia="ja-JP"/>
        </w:rPr>
        <w:t>2</w:t>
      </w:r>
      <w:r w:rsidR="008A521A">
        <w:rPr>
          <w:rFonts w:ascii="Arial" w:hAnsi="Arial"/>
          <w:sz w:val="24"/>
          <w:szCs w:val="24"/>
          <w:lang w:val="en-US" w:eastAsia="ja-JP"/>
        </w:rPr>
        <w:t>5</w:t>
      </w:r>
      <w:r w:rsidR="00453D84">
        <w:rPr>
          <w:rFonts w:ascii="Arial" w:hAnsi="Arial"/>
          <w:sz w:val="24"/>
          <w:szCs w:val="24"/>
          <w:lang w:val="en-US" w:eastAsia="ja-JP"/>
        </w:rPr>
        <w:t>.</w:t>
      </w:r>
      <w:r w:rsidR="008A521A">
        <w:rPr>
          <w:rFonts w:ascii="Arial" w:hAnsi="Arial"/>
          <w:sz w:val="24"/>
          <w:szCs w:val="24"/>
          <w:lang w:val="en-US" w:eastAsia="ja-JP"/>
        </w:rPr>
        <w:t>2</w:t>
      </w:r>
      <w:r w:rsidR="00453D84">
        <w:rPr>
          <w:rFonts w:ascii="Arial" w:hAnsi="Arial"/>
          <w:sz w:val="24"/>
          <w:szCs w:val="24"/>
          <w:lang w:val="en-US" w:eastAsia="ja-JP"/>
        </w:rPr>
        <w:t>.</w:t>
      </w:r>
      <w:r w:rsidR="00F3528D">
        <w:rPr>
          <w:rFonts w:ascii="Arial" w:hAnsi="Arial"/>
          <w:sz w:val="24"/>
          <w:szCs w:val="24"/>
          <w:lang w:val="en-US" w:eastAsia="ja-JP"/>
        </w:rPr>
        <w:t>1</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F0A08CC"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453D84">
        <w:rPr>
          <w:rFonts w:ascii="Arial" w:hAnsi="Arial"/>
          <w:sz w:val="24"/>
          <w:szCs w:val="24"/>
          <w:lang w:val="en-US" w:eastAsia="ja-JP"/>
        </w:rPr>
        <w:t>General aspects</w:t>
      </w:r>
      <w:r w:rsidRPr="338B7BC8">
        <w:rPr>
          <w:rFonts w:ascii="Arial" w:hAnsi="Arial"/>
          <w:sz w:val="24"/>
          <w:szCs w:val="24"/>
          <w:lang w:val="en-US" w:eastAsia="ja-JP"/>
        </w:rPr>
        <w:t xml:space="preserve"> </w:t>
      </w:r>
      <w:r w:rsidR="006A5780">
        <w:rPr>
          <w:rFonts w:ascii="Arial" w:hAnsi="Arial"/>
          <w:sz w:val="24"/>
          <w:szCs w:val="24"/>
          <w:lang w:val="en-US" w:eastAsia="ja-JP"/>
        </w:rPr>
        <w:t>discussions for</w:t>
      </w:r>
      <w:r w:rsidRPr="338B7BC8">
        <w:rPr>
          <w:rFonts w:ascii="Arial" w:hAnsi="Arial"/>
          <w:sz w:val="24"/>
          <w:szCs w:val="24"/>
          <w:lang w:val="en-US" w:eastAsia="ja-JP"/>
        </w:rPr>
        <w:t xml:space="preserve"> </w:t>
      </w:r>
      <w:r w:rsidR="00877ACE">
        <w:rPr>
          <w:rFonts w:ascii="Arial" w:hAnsi="Arial"/>
          <w:sz w:val="24"/>
          <w:szCs w:val="24"/>
          <w:lang w:val="en-US" w:eastAsia="ja-JP"/>
        </w:rPr>
        <w:t>L1/L2 based inter-cell mobility</w:t>
      </w:r>
    </w:p>
    <w:p w14:paraId="5CBDDE9A" w14:textId="4121126F"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173080">
      <w:pPr>
        <w:pStyle w:val="1"/>
        <w:numPr>
          <w:ilvl w:val="0"/>
          <w:numId w:val="1"/>
        </w:numPr>
        <w:jc w:val="both"/>
      </w:pPr>
      <w:r w:rsidRPr="00891A01">
        <w:t>Introduction</w:t>
      </w:r>
    </w:p>
    <w:p w14:paraId="33E9428F" w14:textId="74D31EDC" w:rsidR="004E6A7E" w:rsidRDefault="0016195B" w:rsidP="00173080">
      <w:pPr>
        <w:jc w:val="both"/>
        <w:rPr>
          <w:lang w:eastAsia="ja-JP"/>
        </w:rPr>
      </w:pPr>
      <w:r>
        <w:rPr>
          <w:lang w:eastAsia="ja-JP"/>
        </w:rPr>
        <w:t>During last RAN4 #10</w:t>
      </w:r>
      <w:r w:rsidR="008A521A">
        <w:rPr>
          <w:lang w:eastAsia="ja-JP"/>
        </w:rPr>
        <w:t>6</w:t>
      </w:r>
      <w:r>
        <w:rPr>
          <w:lang w:eastAsia="ja-JP"/>
        </w:rPr>
        <w:t xml:space="preserve"> meeting, the discussion about general aspects and scenarios had some progresses but there are </w:t>
      </w:r>
      <w:r w:rsidR="008A521A">
        <w:rPr>
          <w:lang w:eastAsia="ja-JP"/>
        </w:rPr>
        <w:t>some</w:t>
      </w:r>
      <w:r>
        <w:rPr>
          <w:lang w:eastAsia="ja-JP"/>
        </w:rPr>
        <w:t xml:space="preserve"> remai</w:t>
      </w:r>
      <w:r w:rsidR="008A521A">
        <w:rPr>
          <w:lang w:eastAsia="ja-JP"/>
        </w:rPr>
        <w:t>ni</w:t>
      </w:r>
      <w:r>
        <w:rPr>
          <w:lang w:eastAsia="ja-JP"/>
        </w:rPr>
        <w:t>ng issues. They are copied from approved WF [1] as follows.</w:t>
      </w:r>
    </w:p>
    <w:p w14:paraId="51D082F1" w14:textId="49A471F7" w:rsidR="0016195B" w:rsidRDefault="008A521A" w:rsidP="008A521A">
      <w:pPr>
        <w:pStyle w:val="afc"/>
        <w:numPr>
          <w:ilvl w:val="0"/>
          <w:numId w:val="33"/>
        </w:numPr>
        <w:jc w:val="both"/>
        <w:rPr>
          <w:bCs/>
          <w:lang w:eastAsia="ja-JP"/>
        </w:rPr>
      </w:pPr>
      <w:r w:rsidRPr="008A521A">
        <w:rPr>
          <w:bCs/>
          <w:lang w:eastAsia="ja-JP"/>
        </w:rPr>
        <w:t>Definition of inter-frequency cell switch</w:t>
      </w:r>
    </w:p>
    <w:p w14:paraId="3BCE3207" w14:textId="5E3299D4" w:rsidR="008A521A" w:rsidRPr="008A521A" w:rsidRDefault="008A521A" w:rsidP="008A521A">
      <w:pPr>
        <w:pStyle w:val="afc"/>
        <w:numPr>
          <w:ilvl w:val="0"/>
          <w:numId w:val="33"/>
        </w:numPr>
        <w:jc w:val="both"/>
        <w:rPr>
          <w:bCs/>
          <w:lang w:eastAsia="ja-JP"/>
        </w:rPr>
      </w:pPr>
      <w:r w:rsidRPr="008A521A">
        <w:rPr>
          <w:bCs/>
          <w:lang w:eastAsia="ja-JP"/>
        </w:rPr>
        <w:t>Whether to specify requirements for downlink/uplink synchronisation before cell switch</w:t>
      </w:r>
    </w:p>
    <w:p w14:paraId="080207EA" w14:textId="764A5667" w:rsidR="0016195B" w:rsidRPr="0016195B" w:rsidRDefault="0016195B" w:rsidP="0016195B">
      <w:pPr>
        <w:jc w:val="both"/>
        <w:rPr>
          <w:bCs/>
          <w:lang w:eastAsia="ja-JP"/>
        </w:rPr>
      </w:pPr>
      <w:r>
        <w:rPr>
          <w:rFonts w:hint="eastAsia"/>
          <w:bCs/>
          <w:lang w:eastAsia="ja-JP"/>
        </w:rPr>
        <w:t>T</w:t>
      </w:r>
      <w:r>
        <w:rPr>
          <w:bCs/>
          <w:lang w:eastAsia="ja-JP"/>
        </w:rPr>
        <w:t>his contribution proposes the vie</w:t>
      </w:r>
      <w:r w:rsidR="00D31241">
        <w:rPr>
          <w:bCs/>
          <w:lang w:eastAsia="ja-JP"/>
        </w:rPr>
        <w:t>w</w:t>
      </w:r>
      <w:r>
        <w:rPr>
          <w:bCs/>
          <w:lang w:eastAsia="ja-JP"/>
        </w:rPr>
        <w:t>s of remaining issues.</w:t>
      </w:r>
    </w:p>
    <w:p w14:paraId="2DC00AE1" w14:textId="77777777" w:rsidR="00D27081" w:rsidRDefault="338B7BC8" w:rsidP="003D3AF2">
      <w:pPr>
        <w:pStyle w:val="1"/>
        <w:numPr>
          <w:ilvl w:val="0"/>
          <w:numId w:val="1"/>
        </w:numPr>
        <w:spacing w:after="120"/>
        <w:jc w:val="both"/>
        <w:rPr>
          <w:lang w:eastAsia="ja-JP"/>
        </w:rPr>
      </w:pPr>
      <w:r w:rsidRPr="338B7BC8">
        <w:rPr>
          <w:lang w:eastAsia="ja-JP"/>
        </w:rPr>
        <w:t>Discussion</w:t>
      </w:r>
    </w:p>
    <w:p w14:paraId="7185A3C0" w14:textId="1DB1138F" w:rsidR="00D27081" w:rsidRDefault="008A521A" w:rsidP="003D3AF2">
      <w:pPr>
        <w:pStyle w:val="1"/>
        <w:numPr>
          <w:ilvl w:val="1"/>
          <w:numId w:val="1"/>
        </w:numPr>
        <w:spacing w:after="120"/>
        <w:jc w:val="both"/>
        <w:rPr>
          <w:sz w:val="28"/>
          <w:szCs w:val="28"/>
          <w:lang w:eastAsia="ja-JP"/>
        </w:rPr>
      </w:pPr>
      <w:r w:rsidRPr="008A521A">
        <w:rPr>
          <w:sz w:val="28"/>
          <w:szCs w:val="28"/>
          <w:lang w:eastAsia="ja-JP"/>
        </w:rPr>
        <w:t>Definition of inter-frequency cell switch</w:t>
      </w:r>
    </w:p>
    <w:p w14:paraId="3DAAFFD1" w14:textId="01AE8892" w:rsidR="00423C0A" w:rsidRDefault="00980370" w:rsidP="00980370">
      <w:pPr>
        <w:jc w:val="both"/>
        <w:rPr>
          <w:lang w:eastAsia="ja-JP"/>
        </w:rPr>
      </w:pPr>
      <w:r>
        <w:rPr>
          <w:rFonts w:hint="eastAsia"/>
          <w:lang w:eastAsia="ja-JP"/>
        </w:rPr>
        <w:t>D</w:t>
      </w:r>
      <w:r>
        <w:rPr>
          <w:lang w:eastAsia="ja-JP"/>
        </w:rPr>
        <w:t xml:space="preserve">uring last meeting, various </w:t>
      </w:r>
      <w:r w:rsidR="008A521A">
        <w:rPr>
          <w:lang w:eastAsia="ja-JP"/>
        </w:rPr>
        <w:t>opinion</w:t>
      </w:r>
      <w:r>
        <w:rPr>
          <w:lang w:eastAsia="ja-JP"/>
        </w:rPr>
        <w:t xml:space="preserve">s were </w:t>
      </w:r>
      <w:r w:rsidR="008A521A">
        <w:rPr>
          <w:lang w:eastAsia="ja-JP"/>
        </w:rPr>
        <w:t>propos</w:t>
      </w:r>
      <w:r>
        <w:rPr>
          <w:lang w:eastAsia="ja-JP"/>
        </w:rPr>
        <w:t xml:space="preserve">ed </w:t>
      </w:r>
      <w:r w:rsidR="00423C0A">
        <w:rPr>
          <w:lang w:eastAsia="ja-JP"/>
        </w:rPr>
        <w:t>as follows</w:t>
      </w:r>
      <w:r>
        <w:rPr>
          <w:lang w:eastAsia="ja-JP"/>
        </w:rPr>
        <w:t xml:space="preserve">. </w:t>
      </w:r>
    </w:p>
    <w:p w14:paraId="743C79F1" w14:textId="3A7ED664" w:rsidR="00423C0A" w:rsidRDefault="00423C0A" w:rsidP="00980370">
      <w:pPr>
        <w:jc w:val="both"/>
        <w:rPr>
          <w:lang w:eastAsia="ja-JP"/>
        </w:rPr>
      </w:pPr>
      <w:r>
        <w:rPr>
          <w:rFonts w:hint="eastAsia"/>
          <w:lang w:eastAsia="ja-JP"/>
        </w:rPr>
        <w:t>=</w:t>
      </w:r>
      <w:r>
        <w:rPr>
          <w:lang w:eastAsia="ja-JP"/>
        </w:rPr>
        <w:t>==</w:t>
      </w:r>
    </w:p>
    <w:p w14:paraId="7DDA1CB0" w14:textId="77777777" w:rsidR="008A521A" w:rsidRDefault="008A521A" w:rsidP="008A521A">
      <w:pPr>
        <w:spacing w:afterLines="50" w:after="120"/>
        <w:rPr>
          <w:szCs w:val="24"/>
          <w:lang w:eastAsia="zh-CN"/>
        </w:rPr>
      </w:pPr>
      <w:r>
        <w:rPr>
          <w:b/>
          <w:lang w:eastAsia="zh-CN"/>
        </w:rPr>
        <w:t>&lt; Wayforward &gt;</w:t>
      </w:r>
      <w:r>
        <w:rPr>
          <w:lang w:eastAsia="zh-CN"/>
        </w:rPr>
        <w:t>: FFS the following options</w:t>
      </w:r>
    </w:p>
    <w:p w14:paraId="338B99C7" w14:textId="77777777" w:rsidR="008A521A" w:rsidRPr="00A06C18" w:rsidRDefault="008A521A" w:rsidP="008A521A">
      <w:pPr>
        <w:pStyle w:val="afc"/>
        <w:numPr>
          <w:ilvl w:val="1"/>
          <w:numId w:val="34"/>
        </w:numPr>
        <w:overflowPunct/>
        <w:autoSpaceDE/>
        <w:autoSpaceDN/>
        <w:adjustRightInd/>
        <w:spacing w:after="120"/>
        <w:contextualSpacing w:val="0"/>
        <w:textAlignment w:val="auto"/>
        <w:rPr>
          <w:szCs w:val="24"/>
          <w:lang w:eastAsia="zh-CN"/>
        </w:rPr>
      </w:pPr>
      <w:r w:rsidRPr="00A06C18">
        <w:rPr>
          <w:szCs w:val="24"/>
          <w:lang w:eastAsia="zh-CN"/>
        </w:rPr>
        <w:t>Option 1 (Apple, CTC, CATT, MTK, DOCOMO, OPPO, vivo, Huawei, Nokia, Ericsson): Inter-frequency cell switch is defined where the SSB of Pcell and/or PScell and the candidate target cell are on different frequency layers.</w:t>
      </w:r>
    </w:p>
    <w:p w14:paraId="0D973B4A" w14:textId="77777777" w:rsidR="008A521A" w:rsidRPr="00A06C18" w:rsidRDefault="008A521A" w:rsidP="008A521A">
      <w:pPr>
        <w:pStyle w:val="afc"/>
        <w:numPr>
          <w:ilvl w:val="1"/>
          <w:numId w:val="34"/>
        </w:numPr>
        <w:overflowPunct/>
        <w:autoSpaceDE/>
        <w:autoSpaceDN/>
        <w:adjustRightInd/>
        <w:spacing w:after="120"/>
        <w:contextualSpacing w:val="0"/>
        <w:textAlignment w:val="auto"/>
        <w:rPr>
          <w:szCs w:val="24"/>
          <w:lang w:eastAsia="zh-CN"/>
        </w:rPr>
      </w:pPr>
      <w:r w:rsidRPr="00A06C18">
        <w:rPr>
          <w:rFonts w:hint="eastAsia"/>
          <w:szCs w:val="24"/>
          <w:lang w:eastAsia="zh-CN"/>
        </w:rPr>
        <w:t>O</w:t>
      </w:r>
      <w:r w:rsidRPr="00A06C18">
        <w:rPr>
          <w:szCs w:val="24"/>
          <w:lang w:eastAsia="zh-CN"/>
        </w:rPr>
        <w:t>ption 2 (CATT, DOCOMO</w:t>
      </w:r>
      <w:r w:rsidRPr="00A06C18">
        <w:rPr>
          <w:rFonts w:hint="eastAsia"/>
          <w:szCs w:val="24"/>
          <w:lang w:eastAsia="zh-CN"/>
        </w:rPr>
        <w:t>,</w:t>
      </w:r>
      <w:r w:rsidRPr="00A06C18">
        <w:rPr>
          <w:szCs w:val="24"/>
          <w:lang w:eastAsia="zh-CN"/>
        </w:rPr>
        <w:t xml:space="preserve"> CMCC, vivo): Inter-frequency cell switch is defined where the SSBs of active serving cell(s) and the corresponding candidate target cell(s) are on different frequency layers</w:t>
      </w:r>
    </w:p>
    <w:p w14:paraId="33BF9D87" w14:textId="77777777" w:rsidR="008A521A" w:rsidRDefault="008A521A" w:rsidP="008A521A">
      <w:pPr>
        <w:pStyle w:val="afc"/>
        <w:numPr>
          <w:ilvl w:val="1"/>
          <w:numId w:val="34"/>
        </w:numPr>
        <w:overflowPunct/>
        <w:autoSpaceDE/>
        <w:autoSpaceDN/>
        <w:adjustRightInd/>
        <w:spacing w:after="120"/>
        <w:contextualSpacing w:val="0"/>
        <w:textAlignment w:val="auto"/>
        <w:rPr>
          <w:szCs w:val="24"/>
          <w:lang w:eastAsia="zh-CN"/>
        </w:rPr>
      </w:pPr>
      <w:r w:rsidRPr="00A06C18">
        <w:rPr>
          <w:szCs w:val="24"/>
          <w:lang w:eastAsia="zh-CN"/>
        </w:rPr>
        <w:t>Option 3 (CMCC): no need to have the definition of inter-frequency cell switch if cell switch delay requirements are agnostic for intra-frequency and inter-frequency, same as existing HO delay requirements.</w:t>
      </w:r>
    </w:p>
    <w:p w14:paraId="7364B17A" w14:textId="102D4513" w:rsidR="008A521A" w:rsidRPr="008A521A" w:rsidRDefault="008A521A" w:rsidP="008A521A">
      <w:pPr>
        <w:pStyle w:val="afc"/>
        <w:numPr>
          <w:ilvl w:val="1"/>
          <w:numId w:val="34"/>
        </w:numPr>
        <w:overflowPunct/>
        <w:autoSpaceDE/>
        <w:autoSpaceDN/>
        <w:adjustRightInd/>
        <w:spacing w:after="120"/>
        <w:contextualSpacing w:val="0"/>
        <w:textAlignment w:val="auto"/>
        <w:rPr>
          <w:szCs w:val="24"/>
          <w:lang w:eastAsia="zh-CN"/>
        </w:rPr>
      </w:pPr>
      <w:r w:rsidRPr="008A521A">
        <w:rPr>
          <w:szCs w:val="24"/>
          <w:lang w:eastAsia="zh-CN"/>
        </w:rPr>
        <w:t>Option 4 (Ericsson): Follow legacy procedure and do not define any explicit definition in the spec</w:t>
      </w:r>
    </w:p>
    <w:p w14:paraId="52BB9974" w14:textId="1B6B0327" w:rsidR="00423C0A" w:rsidRDefault="00423C0A" w:rsidP="008A521A">
      <w:pPr>
        <w:jc w:val="both"/>
        <w:rPr>
          <w:lang w:eastAsia="ja-JP"/>
        </w:rPr>
      </w:pPr>
      <w:r>
        <w:rPr>
          <w:rFonts w:hint="eastAsia"/>
          <w:lang w:eastAsia="ja-JP"/>
        </w:rPr>
        <w:t>=</w:t>
      </w:r>
      <w:r>
        <w:rPr>
          <w:lang w:eastAsia="ja-JP"/>
        </w:rPr>
        <w:t>==</w:t>
      </w:r>
    </w:p>
    <w:p w14:paraId="67C3A6D3" w14:textId="02DDEEE6" w:rsidR="005D6112" w:rsidRDefault="00806D94" w:rsidP="00423C0A">
      <w:pPr>
        <w:jc w:val="both"/>
        <w:rPr>
          <w:lang w:eastAsia="ja-JP"/>
        </w:rPr>
      </w:pPr>
      <w:r>
        <w:rPr>
          <w:rFonts w:hint="eastAsia"/>
          <w:lang w:eastAsia="ja-JP"/>
        </w:rPr>
        <w:t>S</w:t>
      </w:r>
      <w:r>
        <w:rPr>
          <w:lang w:eastAsia="ja-JP"/>
        </w:rPr>
        <w:t xml:space="preserve">everal companies proposed that the explicit definition of </w:t>
      </w:r>
      <w:r>
        <w:rPr>
          <w:rFonts w:hint="eastAsia"/>
          <w:lang w:eastAsia="ja-JP"/>
        </w:rPr>
        <w:t>i</w:t>
      </w:r>
      <w:r>
        <w:rPr>
          <w:lang w:eastAsia="ja-JP"/>
        </w:rPr>
        <w:t xml:space="preserve">nter-frequency cell switch is not needed because there are no separate requirements for legacy HO. </w:t>
      </w:r>
      <w:r>
        <w:rPr>
          <w:rFonts w:hint="eastAsia"/>
          <w:lang w:eastAsia="ja-JP"/>
        </w:rPr>
        <w:t>H</w:t>
      </w:r>
      <w:r>
        <w:rPr>
          <w:lang w:eastAsia="ja-JP"/>
        </w:rPr>
        <w:t>owever, r</w:t>
      </w:r>
      <w:r w:rsidR="008A521A">
        <w:rPr>
          <w:lang w:eastAsia="ja-JP"/>
        </w:rPr>
        <w:t>eferring the current specification of L1-RSRP measurements for a cell with different PCI from serving cell, the applicability is limited for t</w:t>
      </w:r>
      <w:r w:rsidR="008A521A" w:rsidRPr="008A521A">
        <w:rPr>
          <w:lang w:eastAsia="ja-JP"/>
        </w:rPr>
        <w:t>he SSB from the cell with different PCI completely contained in the active BWP or associated with initial downlink BWP of the UE</w:t>
      </w:r>
      <w:r w:rsidR="008A521A">
        <w:rPr>
          <w:lang w:eastAsia="ja-JP"/>
        </w:rPr>
        <w:t xml:space="preserve">. </w:t>
      </w:r>
      <w:proofErr w:type="gramStart"/>
      <w:r w:rsidR="008A521A">
        <w:rPr>
          <w:lang w:eastAsia="ja-JP"/>
        </w:rPr>
        <w:t>Therefore</w:t>
      </w:r>
      <w:proofErr w:type="gramEnd"/>
      <w:r w:rsidR="008A521A">
        <w:rPr>
          <w:lang w:eastAsia="ja-JP"/>
        </w:rPr>
        <w:t xml:space="preserve"> if SSB of target cell is not included in active BWP</w:t>
      </w:r>
      <w:r w:rsidRPr="008A521A">
        <w:rPr>
          <w:lang w:eastAsia="ja-JP"/>
        </w:rPr>
        <w:t xml:space="preserve"> or </w:t>
      </w:r>
      <w:r>
        <w:rPr>
          <w:lang w:eastAsia="ja-JP"/>
        </w:rPr>
        <w:t xml:space="preserve">not </w:t>
      </w:r>
      <w:r w:rsidRPr="008A521A">
        <w:rPr>
          <w:lang w:eastAsia="ja-JP"/>
        </w:rPr>
        <w:t>associated with initial downlink BWP</w:t>
      </w:r>
      <w:r w:rsidR="008A521A">
        <w:rPr>
          <w:lang w:eastAsia="ja-JP"/>
        </w:rPr>
        <w:t>, there are no requirements</w:t>
      </w:r>
      <w:r>
        <w:rPr>
          <w:rFonts w:hint="eastAsia"/>
          <w:lang w:eastAsia="ja-JP"/>
        </w:rPr>
        <w:t xml:space="preserve"> </w:t>
      </w:r>
      <w:r>
        <w:rPr>
          <w:lang w:eastAsia="ja-JP"/>
        </w:rPr>
        <w:t>so far and then the delay requirement has to be separately defined</w:t>
      </w:r>
      <w:r w:rsidR="008A521A">
        <w:rPr>
          <w:lang w:eastAsia="ja-JP"/>
        </w:rPr>
        <w:t xml:space="preserve">. Thus, </w:t>
      </w:r>
      <w:r>
        <w:rPr>
          <w:lang w:eastAsia="ja-JP"/>
        </w:rPr>
        <w:t>at least if SSB of target cell is not included in active BWP</w:t>
      </w:r>
      <w:r w:rsidRPr="008A521A">
        <w:rPr>
          <w:lang w:eastAsia="ja-JP"/>
        </w:rPr>
        <w:t xml:space="preserve"> or </w:t>
      </w:r>
      <w:r>
        <w:rPr>
          <w:lang w:eastAsia="ja-JP"/>
        </w:rPr>
        <w:t xml:space="preserve">not </w:t>
      </w:r>
      <w:r w:rsidRPr="008A521A">
        <w:rPr>
          <w:lang w:eastAsia="ja-JP"/>
        </w:rPr>
        <w:t>associated with initial downlink BWP</w:t>
      </w:r>
      <w:r>
        <w:rPr>
          <w:lang w:eastAsia="ja-JP"/>
        </w:rPr>
        <w:t>, it should be treated as inter-frequency cell switch.</w:t>
      </w:r>
    </w:p>
    <w:p w14:paraId="668E1F2C" w14:textId="7B977696" w:rsidR="008A521A" w:rsidRPr="00806D94" w:rsidRDefault="008A521A" w:rsidP="00423C0A">
      <w:pPr>
        <w:jc w:val="both"/>
        <w:rPr>
          <w:b/>
          <w:bCs/>
          <w:lang w:eastAsia="ja-JP"/>
        </w:rPr>
      </w:pPr>
      <w:r w:rsidRPr="00806D94">
        <w:rPr>
          <w:rFonts w:hint="eastAsia"/>
          <w:b/>
          <w:bCs/>
          <w:lang w:eastAsia="ja-JP"/>
        </w:rPr>
        <w:t>O</w:t>
      </w:r>
      <w:r w:rsidRPr="00806D94">
        <w:rPr>
          <w:b/>
          <w:bCs/>
          <w:lang w:eastAsia="ja-JP"/>
        </w:rPr>
        <w:t>bservation 1: The current specification of L1-RSRP measurements for a cell with different PCI from serving cell only considers the SSB from the cell with different PCI completely contained in the active BWP or associated with initial downlink BWP of the UE.</w:t>
      </w:r>
    </w:p>
    <w:p w14:paraId="7CAD4C54" w14:textId="0D7757C9" w:rsidR="008A521A" w:rsidRPr="00806D94" w:rsidRDefault="00806D94" w:rsidP="00423C0A">
      <w:pPr>
        <w:jc w:val="both"/>
        <w:rPr>
          <w:b/>
          <w:bCs/>
          <w:lang w:eastAsia="ja-JP"/>
        </w:rPr>
      </w:pPr>
      <w:r w:rsidRPr="00806D94">
        <w:rPr>
          <w:rFonts w:hint="eastAsia"/>
          <w:b/>
          <w:bCs/>
          <w:lang w:eastAsia="ja-JP"/>
        </w:rPr>
        <w:t>P</w:t>
      </w:r>
      <w:r w:rsidRPr="00806D94">
        <w:rPr>
          <w:b/>
          <w:bCs/>
          <w:lang w:eastAsia="ja-JP"/>
        </w:rPr>
        <w:t>roposal 1: At least if SSB of target cell is not included in active BWP or not associated with initial downlink BWP, it should be treated as inter-frequency cell switch.</w:t>
      </w:r>
    </w:p>
    <w:p w14:paraId="76FD906D" w14:textId="77777777" w:rsidR="008A521A" w:rsidRPr="00806D94" w:rsidRDefault="008A521A" w:rsidP="00423C0A">
      <w:pPr>
        <w:jc w:val="both"/>
        <w:rPr>
          <w:lang w:eastAsia="ja-JP"/>
        </w:rPr>
      </w:pPr>
    </w:p>
    <w:p w14:paraId="1FE7FE85" w14:textId="77777777" w:rsidR="003B38DD" w:rsidRDefault="003B38DD" w:rsidP="003B38DD">
      <w:pPr>
        <w:pStyle w:val="1"/>
        <w:numPr>
          <w:ilvl w:val="0"/>
          <w:numId w:val="1"/>
        </w:numPr>
        <w:jc w:val="both"/>
        <w:rPr>
          <w:lang w:eastAsia="ja-JP"/>
        </w:rPr>
      </w:pPr>
      <w:r w:rsidRPr="00891A01">
        <w:rPr>
          <w:rFonts w:hint="eastAsia"/>
          <w:lang w:eastAsia="ja-JP"/>
        </w:rPr>
        <w:lastRenderedPageBreak/>
        <w:t>Conclusion</w:t>
      </w:r>
    </w:p>
    <w:p w14:paraId="25B852BA" w14:textId="252562F8" w:rsidR="00C258A4" w:rsidRDefault="003B38DD" w:rsidP="00062138">
      <w:pPr>
        <w:spacing w:afterLines="50" w:after="120"/>
        <w:jc w:val="both"/>
        <w:rPr>
          <w:lang w:eastAsia="ja-JP"/>
        </w:rPr>
      </w:pPr>
      <w:r>
        <w:rPr>
          <w:lang w:eastAsia="ja-JP"/>
        </w:rPr>
        <w:t xml:space="preserve">In this contribution, we proposed our views on </w:t>
      </w:r>
      <w:r w:rsidR="00BC4B1C">
        <w:rPr>
          <w:lang w:eastAsia="ja-JP"/>
        </w:rPr>
        <w:t xml:space="preserve">L1/L2 based </w:t>
      </w:r>
      <w:r w:rsidR="000F7754">
        <w:rPr>
          <w:lang w:eastAsia="ja-JP"/>
        </w:rPr>
        <w:t>inter-cell mobility</w:t>
      </w:r>
      <w:r w:rsidRPr="00A93D3C">
        <w:rPr>
          <w:lang w:eastAsia="ja-JP"/>
        </w:rPr>
        <w:t xml:space="preserve"> requirements</w:t>
      </w:r>
      <w:r>
        <w:rPr>
          <w:lang w:eastAsia="ja-JP"/>
        </w:rPr>
        <w:t>.</w:t>
      </w:r>
    </w:p>
    <w:p w14:paraId="4842C55C" w14:textId="77777777" w:rsidR="00806D94" w:rsidRPr="00806D94" w:rsidRDefault="00806D94" w:rsidP="00806D94">
      <w:pPr>
        <w:jc w:val="both"/>
        <w:rPr>
          <w:b/>
          <w:bCs/>
          <w:lang w:eastAsia="ja-JP"/>
        </w:rPr>
      </w:pPr>
      <w:r w:rsidRPr="00806D94">
        <w:rPr>
          <w:rFonts w:hint="eastAsia"/>
          <w:b/>
          <w:bCs/>
          <w:lang w:eastAsia="ja-JP"/>
        </w:rPr>
        <w:t>O</w:t>
      </w:r>
      <w:r w:rsidRPr="00806D94">
        <w:rPr>
          <w:b/>
          <w:bCs/>
          <w:lang w:eastAsia="ja-JP"/>
        </w:rPr>
        <w:t>bservation 1: The current specification of L1-RSRP measurements for a cell with different PCI from serving cell only considers the SSB from the cell with different PCI completely contained in the active BWP or associated with initial downlink BWP of the UE.</w:t>
      </w:r>
    </w:p>
    <w:p w14:paraId="26528EF3" w14:textId="2FB81968" w:rsidR="00806D94" w:rsidRPr="00806D94" w:rsidRDefault="00806D94" w:rsidP="00806D94">
      <w:pPr>
        <w:jc w:val="both"/>
        <w:rPr>
          <w:b/>
          <w:bCs/>
          <w:lang w:eastAsia="ja-JP"/>
        </w:rPr>
      </w:pPr>
      <w:r w:rsidRPr="00806D94">
        <w:rPr>
          <w:rFonts w:hint="eastAsia"/>
          <w:b/>
          <w:bCs/>
          <w:lang w:eastAsia="ja-JP"/>
        </w:rPr>
        <w:t>P</w:t>
      </w:r>
      <w:r w:rsidRPr="00806D94">
        <w:rPr>
          <w:b/>
          <w:bCs/>
          <w:lang w:eastAsia="ja-JP"/>
        </w:rPr>
        <w:t>roposal 1: At least if SSB of target cell is not included in active BWP or not associated with initial downlink BWP, it should be treated as inter-frequency cell switch.</w:t>
      </w:r>
    </w:p>
    <w:p w14:paraId="03D1F503" w14:textId="77777777" w:rsidR="0018368B" w:rsidRDefault="0018368B" w:rsidP="0018368B">
      <w:pPr>
        <w:pStyle w:val="1"/>
        <w:jc w:val="both"/>
        <w:rPr>
          <w:lang w:eastAsia="ja-JP"/>
        </w:rPr>
      </w:pPr>
      <w:r w:rsidRPr="338B7BC8">
        <w:rPr>
          <w:lang w:eastAsia="ja-JP"/>
        </w:rPr>
        <w:t>References</w:t>
      </w:r>
    </w:p>
    <w:p w14:paraId="46E11500" w14:textId="5196F980" w:rsidR="001725E4" w:rsidRPr="00541E49" w:rsidRDefault="0018368B" w:rsidP="000360AF">
      <w:pPr>
        <w:jc w:val="both"/>
        <w:rPr>
          <w:lang w:eastAsia="ja-JP"/>
        </w:rPr>
      </w:pPr>
      <w:r w:rsidRPr="338B7BC8">
        <w:rPr>
          <w:lang w:eastAsia="ja-JP"/>
        </w:rPr>
        <w:t>[1] 3GPP, R4-2</w:t>
      </w:r>
      <w:r w:rsidR="00806D94">
        <w:rPr>
          <w:lang w:eastAsia="ja-JP"/>
        </w:rPr>
        <w:t>303175</w:t>
      </w:r>
      <w:r w:rsidRPr="338B7BC8">
        <w:rPr>
          <w:lang w:eastAsia="ja-JP"/>
        </w:rPr>
        <w:t xml:space="preserve">, </w:t>
      </w:r>
      <w:r w:rsidR="0016195B" w:rsidRPr="0016195B">
        <w:rPr>
          <w:lang w:eastAsia="ja-JP"/>
        </w:rPr>
        <w:t>MediaTek Inc.</w:t>
      </w:r>
      <w:r w:rsidRPr="338B7BC8">
        <w:rPr>
          <w:lang w:eastAsia="ja-JP"/>
        </w:rPr>
        <w:t>,</w:t>
      </w:r>
      <w:r>
        <w:rPr>
          <w:lang w:eastAsia="ja-JP"/>
        </w:rPr>
        <w:t xml:space="preserve"> </w:t>
      </w:r>
      <w:r w:rsidRPr="338B7BC8">
        <w:rPr>
          <w:lang w:eastAsia="ja-JP"/>
        </w:rPr>
        <w:t>“</w:t>
      </w:r>
      <w:r w:rsidR="00806D94" w:rsidRPr="00806D94">
        <w:rPr>
          <w:lang w:eastAsia="ja-JP"/>
        </w:rPr>
        <w:t>WF on NR Mobility Enhancements RRM requirements (part 1)</w:t>
      </w:r>
      <w:r w:rsidRPr="338B7BC8">
        <w:rPr>
          <w:lang w:eastAsia="ja-JP"/>
        </w:rPr>
        <w:t>”</w:t>
      </w:r>
      <w:bookmarkEnd w:id="0"/>
    </w:p>
    <w:sectPr w:rsidR="001725E4" w:rsidRPr="00541E49">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4E9A" w14:textId="77777777" w:rsidR="00B21D9D" w:rsidRDefault="00B21D9D">
      <w:r>
        <w:separator/>
      </w:r>
    </w:p>
  </w:endnote>
  <w:endnote w:type="continuationSeparator" w:id="0">
    <w:p w14:paraId="585648BA" w14:textId="77777777" w:rsidR="00B21D9D" w:rsidRDefault="00B2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6361F" w14:textId="77777777" w:rsidR="00B21D9D" w:rsidRDefault="00B21D9D">
      <w:r>
        <w:separator/>
      </w:r>
    </w:p>
  </w:footnote>
  <w:footnote w:type="continuationSeparator" w:id="0">
    <w:p w14:paraId="0EE4B659" w14:textId="77777777" w:rsidR="00B21D9D" w:rsidRDefault="00B21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871A24"/>
    <w:multiLevelType w:val="hybridMultilevel"/>
    <w:tmpl w:val="011A8CD8"/>
    <w:lvl w:ilvl="0" w:tplc="71F2E390">
      <w:start w:val="206"/>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19"/>
  </w:num>
  <w:num w:numId="2" w16cid:durableId="1913543616">
    <w:abstractNumId w:val="21"/>
  </w:num>
  <w:num w:numId="3" w16cid:durableId="1646231152">
    <w:abstractNumId w:val="23"/>
  </w:num>
  <w:num w:numId="4" w16cid:durableId="2116360413">
    <w:abstractNumId w:val="30"/>
  </w:num>
  <w:num w:numId="5" w16cid:durableId="2140031340">
    <w:abstractNumId w:val="29"/>
  </w:num>
  <w:num w:numId="6" w16cid:durableId="514416941">
    <w:abstractNumId w:val="22"/>
  </w:num>
  <w:num w:numId="7" w16cid:durableId="449395603">
    <w:abstractNumId w:val="28"/>
  </w:num>
  <w:num w:numId="8" w16cid:durableId="937908520">
    <w:abstractNumId w:val="12"/>
  </w:num>
  <w:num w:numId="9" w16cid:durableId="199558967">
    <w:abstractNumId w:val="18"/>
  </w:num>
  <w:num w:numId="10" w16cid:durableId="196622171">
    <w:abstractNumId w:val="13"/>
  </w:num>
  <w:num w:numId="11" w16cid:durableId="889538763">
    <w:abstractNumId w:val="2"/>
  </w:num>
  <w:num w:numId="12" w16cid:durableId="1125002704">
    <w:abstractNumId w:val="16"/>
  </w:num>
  <w:num w:numId="13" w16cid:durableId="2013676021">
    <w:abstractNumId w:val="31"/>
  </w:num>
  <w:num w:numId="14" w16cid:durableId="1350327826">
    <w:abstractNumId w:val="27"/>
  </w:num>
  <w:num w:numId="15" w16cid:durableId="1395280441">
    <w:abstractNumId w:val="33"/>
  </w:num>
  <w:num w:numId="16" w16cid:durableId="1142313719">
    <w:abstractNumId w:val="8"/>
  </w:num>
  <w:num w:numId="17" w16cid:durableId="435560881">
    <w:abstractNumId w:val="20"/>
  </w:num>
  <w:num w:numId="18" w16cid:durableId="354844234">
    <w:abstractNumId w:val="1"/>
  </w:num>
  <w:num w:numId="19" w16cid:durableId="138377582">
    <w:abstractNumId w:val="26"/>
  </w:num>
  <w:num w:numId="20" w16cid:durableId="1996297304">
    <w:abstractNumId w:val="17"/>
  </w:num>
  <w:num w:numId="21" w16cid:durableId="801581498">
    <w:abstractNumId w:val="9"/>
  </w:num>
  <w:num w:numId="22" w16cid:durableId="331416853">
    <w:abstractNumId w:val="32"/>
  </w:num>
  <w:num w:numId="23" w16cid:durableId="1333558971">
    <w:abstractNumId w:val="10"/>
  </w:num>
  <w:num w:numId="24" w16cid:durableId="285966053">
    <w:abstractNumId w:val="0"/>
  </w:num>
  <w:num w:numId="25" w16cid:durableId="1630211263">
    <w:abstractNumId w:val="3"/>
  </w:num>
  <w:num w:numId="26" w16cid:durableId="998466442">
    <w:abstractNumId w:val="7"/>
  </w:num>
  <w:num w:numId="27" w16cid:durableId="787698607">
    <w:abstractNumId w:val="15"/>
  </w:num>
  <w:num w:numId="28" w16cid:durableId="2013023013">
    <w:abstractNumId w:val="24"/>
  </w:num>
  <w:num w:numId="29" w16cid:durableId="1586571518">
    <w:abstractNumId w:val="14"/>
  </w:num>
  <w:num w:numId="30" w16cid:durableId="1684628420">
    <w:abstractNumId w:val="5"/>
  </w:num>
  <w:num w:numId="31" w16cid:durableId="1892695371">
    <w:abstractNumId w:val="6"/>
  </w:num>
  <w:num w:numId="32" w16cid:durableId="509219266">
    <w:abstractNumId w:val="25"/>
  </w:num>
  <w:num w:numId="33" w16cid:durableId="107628389">
    <w:abstractNumId w:val="4"/>
  </w:num>
  <w:num w:numId="34" w16cid:durableId="28485052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360AF"/>
    <w:rsid w:val="000419BA"/>
    <w:rsid w:val="00041A95"/>
    <w:rsid w:val="000427CB"/>
    <w:rsid w:val="000448C2"/>
    <w:rsid w:val="000456D7"/>
    <w:rsid w:val="00045CBD"/>
    <w:rsid w:val="00046408"/>
    <w:rsid w:val="00047943"/>
    <w:rsid w:val="00047DDF"/>
    <w:rsid w:val="00047EC7"/>
    <w:rsid w:val="00052614"/>
    <w:rsid w:val="0005300E"/>
    <w:rsid w:val="000554DC"/>
    <w:rsid w:val="00055F1F"/>
    <w:rsid w:val="000565C4"/>
    <w:rsid w:val="000601CD"/>
    <w:rsid w:val="00060AF9"/>
    <w:rsid w:val="000612D1"/>
    <w:rsid w:val="00062138"/>
    <w:rsid w:val="000621A8"/>
    <w:rsid w:val="00064B3E"/>
    <w:rsid w:val="00065F1C"/>
    <w:rsid w:val="00066891"/>
    <w:rsid w:val="0006768C"/>
    <w:rsid w:val="00067731"/>
    <w:rsid w:val="00071032"/>
    <w:rsid w:val="00073860"/>
    <w:rsid w:val="00075B66"/>
    <w:rsid w:val="000766B3"/>
    <w:rsid w:val="000820DA"/>
    <w:rsid w:val="00083C53"/>
    <w:rsid w:val="000840C6"/>
    <w:rsid w:val="00085B82"/>
    <w:rsid w:val="00086E6E"/>
    <w:rsid w:val="00087322"/>
    <w:rsid w:val="00087413"/>
    <w:rsid w:val="000911E4"/>
    <w:rsid w:val="000913EC"/>
    <w:rsid w:val="00092925"/>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62F3"/>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4AAC"/>
    <w:rsid w:val="000E6DEC"/>
    <w:rsid w:val="000F0698"/>
    <w:rsid w:val="000F22CE"/>
    <w:rsid w:val="000F2DF3"/>
    <w:rsid w:val="000F35C7"/>
    <w:rsid w:val="000F3C2A"/>
    <w:rsid w:val="000F3F08"/>
    <w:rsid w:val="000F5102"/>
    <w:rsid w:val="000F698B"/>
    <w:rsid w:val="000F6F65"/>
    <w:rsid w:val="000F7754"/>
    <w:rsid w:val="000F7E86"/>
    <w:rsid w:val="0010127A"/>
    <w:rsid w:val="001020BC"/>
    <w:rsid w:val="0010324A"/>
    <w:rsid w:val="00103B38"/>
    <w:rsid w:val="00105DB4"/>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195B"/>
    <w:rsid w:val="00162698"/>
    <w:rsid w:val="00162F78"/>
    <w:rsid w:val="0016310D"/>
    <w:rsid w:val="001643AC"/>
    <w:rsid w:val="00165362"/>
    <w:rsid w:val="001654B3"/>
    <w:rsid w:val="00170344"/>
    <w:rsid w:val="001708D0"/>
    <w:rsid w:val="00171D07"/>
    <w:rsid w:val="001725E4"/>
    <w:rsid w:val="00172994"/>
    <w:rsid w:val="00173080"/>
    <w:rsid w:val="00173A44"/>
    <w:rsid w:val="0017516C"/>
    <w:rsid w:val="001751BF"/>
    <w:rsid w:val="0017539A"/>
    <w:rsid w:val="00175AB9"/>
    <w:rsid w:val="00175CE1"/>
    <w:rsid w:val="0017795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D35"/>
    <w:rsid w:val="001F51BB"/>
    <w:rsid w:val="001F787F"/>
    <w:rsid w:val="00200178"/>
    <w:rsid w:val="002029A6"/>
    <w:rsid w:val="00203442"/>
    <w:rsid w:val="0020352D"/>
    <w:rsid w:val="0020374C"/>
    <w:rsid w:val="002043E1"/>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0AD"/>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B8D"/>
    <w:rsid w:val="002A05B0"/>
    <w:rsid w:val="002A1F95"/>
    <w:rsid w:val="002A1FF0"/>
    <w:rsid w:val="002A46DB"/>
    <w:rsid w:val="002A4F2C"/>
    <w:rsid w:val="002A4F8E"/>
    <w:rsid w:val="002A59D3"/>
    <w:rsid w:val="002A5B17"/>
    <w:rsid w:val="002B091A"/>
    <w:rsid w:val="002B10A5"/>
    <w:rsid w:val="002B3853"/>
    <w:rsid w:val="002B4609"/>
    <w:rsid w:val="002B5A28"/>
    <w:rsid w:val="002B5B16"/>
    <w:rsid w:val="002B5C26"/>
    <w:rsid w:val="002B7346"/>
    <w:rsid w:val="002C0B4E"/>
    <w:rsid w:val="002C1961"/>
    <w:rsid w:val="002C1FC4"/>
    <w:rsid w:val="002C2C7C"/>
    <w:rsid w:val="002C2CCB"/>
    <w:rsid w:val="002C36AF"/>
    <w:rsid w:val="002C4696"/>
    <w:rsid w:val="002C6AD5"/>
    <w:rsid w:val="002D05DD"/>
    <w:rsid w:val="002D0C1B"/>
    <w:rsid w:val="002D0F19"/>
    <w:rsid w:val="002D2B3A"/>
    <w:rsid w:val="002D44CF"/>
    <w:rsid w:val="002D4648"/>
    <w:rsid w:val="002D4EAC"/>
    <w:rsid w:val="002D5870"/>
    <w:rsid w:val="002D6417"/>
    <w:rsid w:val="002E08A7"/>
    <w:rsid w:val="002E12A7"/>
    <w:rsid w:val="002E44CF"/>
    <w:rsid w:val="002E4C55"/>
    <w:rsid w:val="002E775B"/>
    <w:rsid w:val="002F4093"/>
    <w:rsid w:val="002F478F"/>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B38DD"/>
    <w:rsid w:val="003B3F20"/>
    <w:rsid w:val="003B5345"/>
    <w:rsid w:val="003B5D82"/>
    <w:rsid w:val="003B5F55"/>
    <w:rsid w:val="003B63A7"/>
    <w:rsid w:val="003B6D17"/>
    <w:rsid w:val="003B7165"/>
    <w:rsid w:val="003B7573"/>
    <w:rsid w:val="003C05A5"/>
    <w:rsid w:val="003C176C"/>
    <w:rsid w:val="003C1F07"/>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3C0A"/>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28DD"/>
    <w:rsid w:val="00483C8A"/>
    <w:rsid w:val="00485DDA"/>
    <w:rsid w:val="00487192"/>
    <w:rsid w:val="00490611"/>
    <w:rsid w:val="00490996"/>
    <w:rsid w:val="004912EB"/>
    <w:rsid w:val="0049156D"/>
    <w:rsid w:val="00492358"/>
    <w:rsid w:val="00493FD9"/>
    <w:rsid w:val="004945D8"/>
    <w:rsid w:val="00496348"/>
    <w:rsid w:val="00496E13"/>
    <w:rsid w:val="00497049"/>
    <w:rsid w:val="00497809"/>
    <w:rsid w:val="004A035D"/>
    <w:rsid w:val="004A0D35"/>
    <w:rsid w:val="004A17C7"/>
    <w:rsid w:val="004A2A41"/>
    <w:rsid w:val="004A34FC"/>
    <w:rsid w:val="004A41BD"/>
    <w:rsid w:val="004A4E6C"/>
    <w:rsid w:val="004A4F25"/>
    <w:rsid w:val="004A782C"/>
    <w:rsid w:val="004A7ADF"/>
    <w:rsid w:val="004B070C"/>
    <w:rsid w:val="004B103C"/>
    <w:rsid w:val="004B1EF8"/>
    <w:rsid w:val="004B3910"/>
    <w:rsid w:val="004B5CEC"/>
    <w:rsid w:val="004B693D"/>
    <w:rsid w:val="004B7715"/>
    <w:rsid w:val="004B7C86"/>
    <w:rsid w:val="004C0E53"/>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C77"/>
    <w:rsid w:val="005044B5"/>
    <w:rsid w:val="00504B77"/>
    <w:rsid w:val="00505026"/>
    <w:rsid w:val="00505443"/>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70304"/>
    <w:rsid w:val="00570EB9"/>
    <w:rsid w:val="005713B7"/>
    <w:rsid w:val="0057169E"/>
    <w:rsid w:val="0057346A"/>
    <w:rsid w:val="00577A52"/>
    <w:rsid w:val="00580107"/>
    <w:rsid w:val="005811BC"/>
    <w:rsid w:val="00581661"/>
    <w:rsid w:val="0058233B"/>
    <w:rsid w:val="00584AC5"/>
    <w:rsid w:val="005850C9"/>
    <w:rsid w:val="00586806"/>
    <w:rsid w:val="00586C80"/>
    <w:rsid w:val="00586F2A"/>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C75C1"/>
    <w:rsid w:val="005D087C"/>
    <w:rsid w:val="005D1F5B"/>
    <w:rsid w:val="005D2248"/>
    <w:rsid w:val="005D3F3A"/>
    <w:rsid w:val="005D4B05"/>
    <w:rsid w:val="005D6112"/>
    <w:rsid w:val="005D6A89"/>
    <w:rsid w:val="005D6D26"/>
    <w:rsid w:val="005D761F"/>
    <w:rsid w:val="005E4119"/>
    <w:rsid w:val="005E452C"/>
    <w:rsid w:val="005E7F27"/>
    <w:rsid w:val="005F1DC0"/>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2B7C"/>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23BD"/>
    <w:rsid w:val="00654E66"/>
    <w:rsid w:val="006550A5"/>
    <w:rsid w:val="00657A0F"/>
    <w:rsid w:val="006604A7"/>
    <w:rsid w:val="006604E7"/>
    <w:rsid w:val="0066145D"/>
    <w:rsid w:val="0066272C"/>
    <w:rsid w:val="00662AB0"/>
    <w:rsid w:val="00664C27"/>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0F83"/>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9105F"/>
    <w:rsid w:val="00793494"/>
    <w:rsid w:val="0079526E"/>
    <w:rsid w:val="00796FC6"/>
    <w:rsid w:val="007A11F7"/>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6D94"/>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C88"/>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77ACE"/>
    <w:rsid w:val="008822AA"/>
    <w:rsid w:val="00883B9E"/>
    <w:rsid w:val="00884014"/>
    <w:rsid w:val="00885543"/>
    <w:rsid w:val="00885903"/>
    <w:rsid w:val="00885DDB"/>
    <w:rsid w:val="00891A01"/>
    <w:rsid w:val="008921D3"/>
    <w:rsid w:val="00892527"/>
    <w:rsid w:val="00892646"/>
    <w:rsid w:val="00893454"/>
    <w:rsid w:val="00894CDE"/>
    <w:rsid w:val="0089682C"/>
    <w:rsid w:val="008A0249"/>
    <w:rsid w:val="008A24BF"/>
    <w:rsid w:val="008A4BA1"/>
    <w:rsid w:val="008A521A"/>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D77BA"/>
    <w:rsid w:val="008E0A4B"/>
    <w:rsid w:val="008E1312"/>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35EF2"/>
    <w:rsid w:val="009403DA"/>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0370"/>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BE3"/>
    <w:rsid w:val="00A56F41"/>
    <w:rsid w:val="00A57448"/>
    <w:rsid w:val="00A57ACE"/>
    <w:rsid w:val="00A60250"/>
    <w:rsid w:val="00A61831"/>
    <w:rsid w:val="00A634BF"/>
    <w:rsid w:val="00A6446C"/>
    <w:rsid w:val="00A653A6"/>
    <w:rsid w:val="00A65439"/>
    <w:rsid w:val="00A66640"/>
    <w:rsid w:val="00A66F72"/>
    <w:rsid w:val="00A67244"/>
    <w:rsid w:val="00A67ADE"/>
    <w:rsid w:val="00A67CA1"/>
    <w:rsid w:val="00A712A2"/>
    <w:rsid w:val="00A720CF"/>
    <w:rsid w:val="00A72864"/>
    <w:rsid w:val="00A73A6E"/>
    <w:rsid w:val="00A73DDE"/>
    <w:rsid w:val="00A75759"/>
    <w:rsid w:val="00A75A43"/>
    <w:rsid w:val="00A77306"/>
    <w:rsid w:val="00A800FA"/>
    <w:rsid w:val="00A808EF"/>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122E8"/>
    <w:rsid w:val="00B12421"/>
    <w:rsid w:val="00B12B89"/>
    <w:rsid w:val="00B12FE2"/>
    <w:rsid w:val="00B13FA3"/>
    <w:rsid w:val="00B15D95"/>
    <w:rsid w:val="00B15E24"/>
    <w:rsid w:val="00B16291"/>
    <w:rsid w:val="00B17B1B"/>
    <w:rsid w:val="00B17D14"/>
    <w:rsid w:val="00B21D9D"/>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51E7"/>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3FF"/>
    <w:rsid w:val="00B90595"/>
    <w:rsid w:val="00B90752"/>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B1C"/>
    <w:rsid w:val="00BC4CBB"/>
    <w:rsid w:val="00BC5AE7"/>
    <w:rsid w:val="00BC5BF3"/>
    <w:rsid w:val="00BC7FED"/>
    <w:rsid w:val="00BD08A1"/>
    <w:rsid w:val="00BD14EA"/>
    <w:rsid w:val="00BD15F5"/>
    <w:rsid w:val="00BD493B"/>
    <w:rsid w:val="00BD5507"/>
    <w:rsid w:val="00BD5789"/>
    <w:rsid w:val="00BD6762"/>
    <w:rsid w:val="00BD7B79"/>
    <w:rsid w:val="00BD7BC3"/>
    <w:rsid w:val="00BE0D8A"/>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B7BB7"/>
    <w:rsid w:val="00CC1478"/>
    <w:rsid w:val="00CC26C6"/>
    <w:rsid w:val="00CC2BF2"/>
    <w:rsid w:val="00CC5EE3"/>
    <w:rsid w:val="00CD03C9"/>
    <w:rsid w:val="00CD2A32"/>
    <w:rsid w:val="00CD457F"/>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27081"/>
    <w:rsid w:val="00D30122"/>
    <w:rsid w:val="00D3072B"/>
    <w:rsid w:val="00D31241"/>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D0F"/>
    <w:rsid w:val="00ED6996"/>
    <w:rsid w:val="00EE11B3"/>
    <w:rsid w:val="00EE2E65"/>
    <w:rsid w:val="00EE3BAA"/>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3A09"/>
    <w:rsid w:val="00F640C8"/>
    <w:rsid w:val="00F64E51"/>
    <w:rsid w:val="00F66A1B"/>
    <w:rsid w:val="00F66D05"/>
    <w:rsid w:val="00F70197"/>
    <w:rsid w:val="00F70330"/>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320E"/>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6D94"/>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531</Words>
  <Characters>2854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4</cp:revision>
  <cp:lastPrinted>2017-04-28T05:57:00Z</cp:lastPrinted>
  <dcterms:created xsi:type="dcterms:W3CDTF">2023-04-10T10:41:00Z</dcterms:created>
  <dcterms:modified xsi:type="dcterms:W3CDTF">2023-04-10T10:49:00Z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2023-04-10T10:41:48Z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a22cacc6-ca83-4963-a24a-1627af6ea1d6</vt:lpwstr>
  </property>
  <property fmtid="{D5CDD505-2E9C-101B-9397-08002B2CF9AE}" pid="8" name="MSIP_Label_f7b7771f-98a2-4ec9-8160-ee37e9359e20_ContentBits">
    <vt:lpwstr>0</vt:lpwstr>
  </property>
</Properties>
</file>